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871ED" w14:textId="77777777" w:rsidR="003C3531" w:rsidRDefault="00376C50">
      <w:pPr>
        <w:jc w:val="center"/>
        <w:rPr>
          <w:rFonts w:ascii="Arial Narrow" w:eastAsia="Arial Narrow" w:hAnsi="Arial Narrow" w:cs="Arial Narrow"/>
          <w:b/>
          <w:bCs/>
          <w:sz w:val="48"/>
          <w:szCs w:val="48"/>
        </w:rPr>
      </w:pPr>
      <w:r>
        <w:rPr>
          <w:rFonts w:ascii="Arial Narrow" w:eastAsia="Arial Narrow" w:hAnsi="Arial Narrow" w:cs="Arial Narrow"/>
          <w:b/>
          <w:bCs/>
          <w:sz w:val="48"/>
          <w:szCs w:val="48"/>
        </w:rPr>
        <w:t>Las técnicas de medicina nuclear pueden influir en el tratamiento del cáncer de mama, pero no todas las pacientes conocen su utilidad</w:t>
      </w:r>
    </w:p>
    <w:p w14:paraId="1FC75A74" w14:textId="77777777" w:rsidR="003C3531" w:rsidRDefault="00376C50">
      <w:pPr>
        <w:jc w:val="center"/>
        <w:rPr>
          <w:sz w:val="22"/>
          <w:szCs w:val="22"/>
        </w:rPr>
      </w:pPr>
      <w:r>
        <w:rPr>
          <w:i/>
          <w:iCs/>
          <w:sz w:val="22"/>
          <w:szCs w:val="22"/>
        </w:rPr>
        <w:t>Con motivo del Día Mundial del Cáncer de Mama, la Sociedad Española de Medicina Nuclear e Imagen Molecular (SEMNIM) y el Grupo Español de Pacientes con Cáncer (GEPAC) unen la perspectiva clínica y la experiencia de las pacientes para explicar cómo pruebas como el ganglio centinela y el PET/TC pueden orientar las decisiones médicas y por qué es importante comprender su finalidad</w:t>
      </w:r>
    </w:p>
    <w:p w14:paraId="3DE5E750" w14:textId="77777777" w:rsidR="003C3531" w:rsidRDefault="00376C50">
      <w:pPr>
        <w:numPr>
          <w:ilvl w:val="0"/>
          <w:numId w:val="1"/>
        </w:numPr>
        <w:jc w:val="both"/>
        <w:rPr>
          <w:color w:val="000000"/>
        </w:rPr>
      </w:pPr>
      <w:r>
        <w:rPr>
          <w:color w:val="000000"/>
          <w:sz w:val="22"/>
          <w:szCs w:val="22"/>
        </w:rPr>
        <w:t>La técnica del ganglio centinela permite evaluar la afectación de los primeros ganglios linfáticos de drenaje del tumor y evitar cirugías axilares más extensas en determinadas pacientes</w:t>
      </w:r>
    </w:p>
    <w:p w14:paraId="37E7B35E" w14:textId="77777777" w:rsidR="003C3531" w:rsidRDefault="00376C50">
      <w:pPr>
        <w:numPr>
          <w:ilvl w:val="0"/>
          <w:numId w:val="1"/>
        </w:numPr>
        <w:jc w:val="both"/>
        <w:rPr>
          <w:color w:val="000000"/>
        </w:rPr>
      </w:pPr>
      <w:r>
        <w:rPr>
          <w:color w:val="000000"/>
          <w:sz w:val="22"/>
          <w:szCs w:val="22"/>
        </w:rPr>
        <w:t>El PET/TC puede ayudar a determinar la extensión del cáncer de mama y orientar las decisiones terapéuticas en pacientes seleccionadas</w:t>
      </w:r>
    </w:p>
    <w:p w14:paraId="4ED8E5AE" w14:textId="77777777" w:rsidR="003C3531" w:rsidRDefault="00376C50">
      <w:pPr>
        <w:numPr>
          <w:ilvl w:val="0"/>
          <w:numId w:val="1"/>
        </w:numPr>
        <w:jc w:val="both"/>
        <w:rPr>
          <w:color w:val="000000"/>
        </w:rPr>
      </w:pPr>
      <w:r>
        <w:rPr>
          <w:color w:val="000000"/>
          <w:sz w:val="22"/>
          <w:szCs w:val="22"/>
        </w:rPr>
        <w:t xml:space="preserve">GEPAC señala que </w:t>
      </w:r>
      <w:r>
        <w:rPr>
          <w:sz w:val="22"/>
          <w:szCs w:val="22"/>
        </w:rPr>
        <w:t xml:space="preserve">muchas </w:t>
      </w:r>
      <w:r>
        <w:rPr>
          <w:color w:val="000000"/>
          <w:sz w:val="22"/>
          <w:szCs w:val="22"/>
        </w:rPr>
        <w:t>pacientes llegan a estas pruebas sin conocer su finalidad y subraya que comprender sus resultados y sus implicaciones ayuda a reducir la incertidumbre</w:t>
      </w:r>
    </w:p>
    <w:p w14:paraId="71F01774" w14:textId="77777777" w:rsidR="003C3531" w:rsidRDefault="00376C50">
      <w:pPr>
        <w:jc w:val="both"/>
        <w:rPr>
          <w:sz w:val="22"/>
          <w:szCs w:val="22"/>
        </w:rPr>
      </w:pPr>
      <w:r>
        <w:rPr>
          <w:b/>
          <w:bCs/>
          <w:sz w:val="22"/>
          <w:szCs w:val="22"/>
        </w:rPr>
        <w:t>Madrid, 19 de octubre de 2026</w:t>
      </w:r>
      <w:r>
        <w:rPr>
          <w:sz w:val="22"/>
          <w:szCs w:val="22"/>
        </w:rPr>
        <w:t>. – Las técnicas de medicina nuclear pueden aportar información clave para decidir cómo abordar el cáncer de mama. La localización del ganglio centinela permite identificar los primeros ganglios linfáticos hacia los que drena el tumor, mientras que el PET/TC puede ayudar a determinar la extensión de la enfermedad en pacientes seleccionadas. Sin embargo, según señala GEPAC, muchas mujeres llegan a estos procedimientos sin comprender para qué sirven ni cómo pueden influir sus resultados en las decisiones sobr</w:t>
      </w:r>
      <w:r>
        <w:rPr>
          <w:sz w:val="22"/>
          <w:szCs w:val="22"/>
        </w:rPr>
        <w:t>e su tratamiento.</w:t>
      </w:r>
    </w:p>
    <w:p w14:paraId="22C0B5C7" w14:textId="77777777" w:rsidR="003C3531" w:rsidRDefault="00376C50">
      <w:pPr>
        <w:spacing w:before="240" w:after="240"/>
        <w:jc w:val="both"/>
        <w:rPr>
          <w:sz w:val="22"/>
          <w:szCs w:val="22"/>
        </w:rPr>
      </w:pPr>
      <w:r>
        <w:rPr>
          <w:sz w:val="22"/>
          <w:szCs w:val="22"/>
        </w:rPr>
        <w:t>Con motivo del Día Mundial del Cáncer de Mama, SEMNIM y GEPAC ponen en común la perspectiva de los profesionales sanitarios y la experiencia de las pacientes para abordar tanto la utilidad de estas técnicas como la importancia de ofrecer información clara y comprensible durante el proceso asistencial.</w:t>
      </w:r>
    </w:p>
    <w:p w14:paraId="560A57DA" w14:textId="77777777" w:rsidR="003C3531" w:rsidRDefault="00376C50">
      <w:pPr>
        <w:jc w:val="both"/>
        <w:rPr>
          <w:b/>
          <w:bCs/>
          <w:sz w:val="22"/>
          <w:szCs w:val="22"/>
        </w:rPr>
      </w:pPr>
      <w:r>
        <w:rPr>
          <w:b/>
          <w:bCs/>
          <w:sz w:val="22"/>
          <w:szCs w:val="22"/>
        </w:rPr>
        <w:t>Del ganglio centinela al PET/TC, qué cambia con los resultados</w:t>
      </w:r>
    </w:p>
    <w:p w14:paraId="65D927C0" w14:textId="77777777" w:rsidR="003C3531" w:rsidRDefault="00376C50">
      <w:pPr>
        <w:spacing w:before="240" w:after="240"/>
        <w:jc w:val="both"/>
        <w:rPr>
          <w:sz w:val="22"/>
          <w:szCs w:val="22"/>
        </w:rPr>
      </w:pPr>
      <w:r>
        <w:rPr>
          <w:sz w:val="22"/>
          <w:szCs w:val="22"/>
        </w:rPr>
        <w:lastRenderedPageBreak/>
        <w:t>La información obtenida mediante estas técnicas puede contribuir a personalizar el abordaje del cáncer de mama, desde la evaluación de los ganglios linfáticos hasta la detección de enfermedad en otras localizaciones.</w:t>
      </w:r>
    </w:p>
    <w:p w14:paraId="56D6DD9F" w14:textId="77777777" w:rsidR="003C3531" w:rsidRDefault="00376C50">
      <w:pPr>
        <w:spacing w:before="240" w:after="240"/>
        <w:jc w:val="both"/>
        <w:rPr>
          <w:sz w:val="22"/>
          <w:szCs w:val="22"/>
        </w:rPr>
      </w:pPr>
      <w:r>
        <w:rPr>
          <w:sz w:val="22"/>
          <w:szCs w:val="22"/>
        </w:rPr>
        <w:t xml:space="preserve">Según explica la </w:t>
      </w:r>
      <w:r>
        <w:rPr>
          <w:b/>
          <w:bCs/>
          <w:sz w:val="22"/>
          <w:szCs w:val="22"/>
        </w:rPr>
        <w:t>Dra. Virginia Pubul,</w:t>
      </w:r>
      <w:r>
        <w:rPr>
          <w:sz w:val="22"/>
          <w:szCs w:val="22"/>
        </w:rPr>
        <w:t xml:space="preserve"> presidenta de la SEMNIM, </w:t>
      </w:r>
      <w:r>
        <w:rPr>
          <w:i/>
          <w:iCs/>
          <w:sz w:val="22"/>
          <w:szCs w:val="22"/>
        </w:rPr>
        <w:t>“la evidencia clínica actual considera la biopsia selectiva del ganglio centinela (BSGC) el estándar para la estadificación axilar de las pacientes sometidas a cirugía conservadora cuya axila es clínicamente negativa tras valoración ecográfica”.</w:t>
      </w:r>
      <w:r>
        <w:rPr>
          <w:sz w:val="22"/>
          <w:szCs w:val="22"/>
        </w:rPr>
        <w:t xml:space="preserve"> No obstante, señala que las recomendaciones están evolucionando hacia una utilización más selectiva de esta técnica, que puede omitirse en determinadas pacientes tras una valoración multidisciplinar.</w:t>
      </w:r>
    </w:p>
    <w:p w14:paraId="0C00F3AF" w14:textId="77777777" w:rsidR="003C3531" w:rsidRDefault="00376C50">
      <w:pPr>
        <w:spacing w:before="240" w:after="240"/>
        <w:jc w:val="both"/>
        <w:rPr>
          <w:sz w:val="22"/>
          <w:szCs w:val="22"/>
        </w:rPr>
      </w:pPr>
      <w:r>
        <w:rPr>
          <w:sz w:val="22"/>
          <w:szCs w:val="22"/>
        </w:rPr>
        <w:t>Además, destaca que</w:t>
      </w:r>
      <w:r>
        <w:rPr>
          <w:i/>
          <w:iCs/>
          <w:sz w:val="22"/>
          <w:szCs w:val="22"/>
        </w:rPr>
        <w:t xml:space="preserve"> “la BSGC es una estrategia de estadificación que, en ocasiones, permite evitar la linfadenectomía axilar”</w:t>
      </w:r>
      <w:r>
        <w:rPr>
          <w:sz w:val="22"/>
          <w:szCs w:val="22"/>
        </w:rPr>
        <w:t xml:space="preserve">, una intervención más extensa que puede asociarse a complicaciones como linfedema, dolor o pérdida de movilidad. La información obtenida también contribuye, junto con otros factores clínicos y biológicos, a orientar decisiones sobre radioterapia y tratamientos sistémicos. </w:t>
      </w:r>
      <w:r>
        <w:rPr>
          <w:sz w:val="22"/>
          <w:szCs w:val="22"/>
          <w:vertAlign w:val="superscript"/>
        </w:rPr>
        <w:footnoteReference w:id="1"/>
      </w:r>
    </w:p>
    <w:p w14:paraId="1B9128AA" w14:textId="77777777" w:rsidR="003C3531" w:rsidRDefault="00376C50">
      <w:pPr>
        <w:pStyle w:val="Ttulo2"/>
        <w:keepNext w:val="0"/>
        <w:keepLines w:val="0"/>
        <w:spacing w:before="360"/>
        <w:jc w:val="both"/>
        <w:rPr>
          <w:sz w:val="22"/>
          <w:szCs w:val="22"/>
        </w:rPr>
      </w:pPr>
      <w:bookmarkStart w:id="0" w:name="_heading=h.ulstwcc9yanm" w:colFirst="0" w:colLast="0"/>
      <w:bookmarkEnd w:id="0"/>
      <w:r>
        <w:rPr>
          <w:rFonts w:ascii="Aptos" w:eastAsia="Aptos" w:hAnsi="Aptos" w:cs="Aptos"/>
          <w:b/>
          <w:bCs/>
          <w:color w:val="000000"/>
          <w:sz w:val="22"/>
          <w:szCs w:val="22"/>
        </w:rPr>
        <w:t>El PET/TC puede cambiar la planificación del tratamiento</w:t>
      </w:r>
    </w:p>
    <w:p w14:paraId="2AD1BC0E" w14:textId="77777777" w:rsidR="003C3531" w:rsidRDefault="00376C50">
      <w:pPr>
        <w:spacing w:before="240" w:after="240"/>
        <w:jc w:val="both"/>
        <w:rPr>
          <w:sz w:val="22"/>
          <w:szCs w:val="22"/>
        </w:rPr>
      </w:pPr>
      <w:r>
        <w:rPr>
          <w:sz w:val="22"/>
          <w:szCs w:val="22"/>
        </w:rPr>
        <w:t xml:space="preserve">Respecto al PET/TC, la Dra. </w:t>
      </w:r>
      <w:proofErr w:type="spellStart"/>
      <w:r>
        <w:rPr>
          <w:sz w:val="22"/>
          <w:szCs w:val="22"/>
        </w:rPr>
        <w:t>Pubul</w:t>
      </w:r>
      <w:proofErr w:type="spellEnd"/>
      <w:r>
        <w:rPr>
          <w:sz w:val="22"/>
          <w:szCs w:val="22"/>
        </w:rPr>
        <w:t xml:space="preserve"> aclara que </w:t>
      </w:r>
      <w:r>
        <w:rPr>
          <w:i/>
          <w:iCs/>
          <w:sz w:val="22"/>
          <w:szCs w:val="22"/>
        </w:rPr>
        <w:t xml:space="preserve">“la PET no está indicada de forma rutinaria en el cáncer de mama precoz de bajo riesgo y su rendimiento clínico aumenta conforme aumenta el riesgo de enfermedad </w:t>
      </w:r>
      <w:proofErr w:type="spellStart"/>
      <w:r>
        <w:rPr>
          <w:i/>
          <w:iCs/>
          <w:sz w:val="22"/>
          <w:szCs w:val="22"/>
        </w:rPr>
        <w:t>extraaxilar</w:t>
      </w:r>
      <w:proofErr w:type="spellEnd"/>
      <w:r>
        <w:rPr>
          <w:i/>
          <w:iCs/>
          <w:sz w:val="22"/>
          <w:szCs w:val="22"/>
        </w:rPr>
        <w:t xml:space="preserve"> o metastásica”.</w:t>
      </w:r>
      <w:r>
        <w:rPr>
          <w:sz w:val="22"/>
          <w:szCs w:val="22"/>
        </w:rPr>
        <w:t xml:space="preserve"> Sin embargo, puede resultar determinante en pacientes seleccionadas al detectar enfermedad no identificada previamente y modificar así el estadio y la planificación del tratamiento.</w:t>
      </w:r>
    </w:p>
    <w:p w14:paraId="4B2824B3" w14:textId="77777777" w:rsidR="003C3531" w:rsidRDefault="00376C50">
      <w:pPr>
        <w:spacing w:before="240" w:after="240"/>
        <w:jc w:val="both"/>
        <w:rPr>
          <w:sz w:val="22"/>
          <w:szCs w:val="22"/>
        </w:rPr>
      </w:pPr>
      <w:r>
        <w:rPr>
          <w:sz w:val="22"/>
          <w:szCs w:val="22"/>
        </w:rPr>
        <w:t>La especialista añade que la imagen metabólica también puede contribuir a valorar precozmente la respuesta al tratamiento neoadyuvante en determinados casos, aunque todavía se necesita más evidencia para generalizar su utilización.</w:t>
      </w:r>
    </w:p>
    <w:p w14:paraId="5E712839" w14:textId="4409B995" w:rsidR="003C3531" w:rsidRDefault="00376C50">
      <w:pPr>
        <w:spacing w:before="240" w:after="240"/>
        <w:jc w:val="both"/>
        <w:rPr>
          <w:i/>
          <w:iCs/>
          <w:sz w:val="22"/>
          <w:szCs w:val="22"/>
        </w:rPr>
      </w:pPr>
      <w:r>
        <w:rPr>
          <w:sz w:val="22"/>
          <w:szCs w:val="22"/>
        </w:rPr>
        <w:t xml:space="preserve">Por último, la Dra. </w:t>
      </w:r>
      <w:proofErr w:type="spellStart"/>
      <w:r>
        <w:rPr>
          <w:sz w:val="22"/>
          <w:szCs w:val="22"/>
        </w:rPr>
        <w:t>Pubul</w:t>
      </w:r>
      <w:proofErr w:type="spellEnd"/>
      <w:r>
        <w:rPr>
          <w:sz w:val="22"/>
          <w:szCs w:val="22"/>
        </w:rPr>
        <w:t xml:space="preserve"> pone en valor la experiencia de los especialistas españoles en este ámbito. </w:t>
      </w:r>
      <w:r>
        <w:rPr>
          <w:i/>
          <w:iCs/>
          <w:sz w:val="22"/>
          <w:szCs w:val="22"/>
        </w:rPr>
        <w:t xml:space="preserve">“España cuenta con profesionales altamente cualificados y con una amplia experiencia en la aplicación de las técnicas de medicina nuclear al cáncer de mama”, </w:t>
      </w:r>
      <w:r>
        <w:rPr>
          <w:sz w:val="22"/>
          <w:szCs w:val="22"/>
        </w:rPr>
        <w:t>destaca. En este sentido, subraya la importancia de que las diferencias organizativas entre hospitales y comunidades autónomas no se traduzcan en desigualdades para las pacientes.</w:t>
      </w:r>
      <w:r>
        <w:rPr>
          <w:i/>
          <w:iCs/>
          <w:sz w:val="22"/>
          <w:szCs w:val="22"/>
        </w:rPr>
        <w:t xml:space="preserve"> “Desde la Sociedad Española de Medicina Nuclear e Imagen Molecular </w:t>
      </w:r>
      <w:r>
        <w:rPr>
          <w:i/>
          <w:iCs/>
          <w:sz w:val="22"/>
          <w:szCs w:val="22"/>
        </w:rPr>
        <w:lastRenderedPageBreak/>
        <w:t xml:space="preserve">trabajamos para favorecer una atención coordinada y equitativa, de manera que cada mujer pueda acceder a las pruebas que realmente necesita, en el momento adecuado y con independencia de dónde resida”, </w:t>
      </w:r>
      <w:r>
        <w:rPr>
          <w:sz w:val="22"/>
          <w:szCs w:val="22"/>
        </w:rPr>
        <w:t>concluye</w:t>
      </w:r>
      <w:r>
        <w:rPr>
          <w:i/>
          <w:iCs/>
          <w:sz w:val="22"/>
          <w:szCs w:val="22"/>
        </w:rPr>
        <w:t>.</w:t>
      </w:r>
    </w:p>
    <w:p w14:paraId="3620F743" w14:textId="77777777" w:rsidR="003C3531" w:rsidRDefault="00376C50">
      <w:pPr>
        <w:jc w:val="both"/>
        <w:rPr>
          <w:b/>
          <w:bCs/>
          <w:sz w:val="22"/>
          <w:szCs w:val="22"/>
        </w:rPr>
      </w:pPr>
      <w:r>
        <w:rPr>
          <w:b/>
          <w:bCs/>
          <w:sz w:val="22"/>
          <w:szCs w:val="22"/>
        </w:rPr>
        <w:t>Comprender las pruebas también forma parte de la atención</w:t>
      </w:r>
    </w:p>
    <w:p w14:paraId="29BA960A" w14:textId="77777777" w:rsidR="003C3531" w:rsidRDefault="00376C50">
      <w:pPr>
        <w:spacing w:before="240" w:after="240"/>
        <w:jc w:val="both"/>
        <w:rPr>
          <w:sz w:val="22"/>
          <w:szCs w:val="22"/>
        </w:rPr>
      </w:pPr>
      <w:r>
        <w:rPr>
          <w:sz w:val="22"/>
          <w:szCs w:val="22"/>
        </w:rPr>
        <w:t xml:space="preserve">Pero conocer la utilidad de estas pruebas desde el punto de vista médico no significa que las pacientes comprendan siempre por qué se les realizan. </w:t>
      </w:r>
      <w:r>
        <w:rPr>
          <w:i/>
          <w:iCs/>
          <w:sz w:val="22"/>
          <w:szCs w:val="22"/>
        </w:rPr>
        <w:t xml:space="preserve">“Las pacientes llegan a estas pruebas sabiendo el nombre y poco más. Nadie les ha contado para qué sirve el ganglio centinela ni qué aporta un PET/TC en su caso, y la palabra nuclear impone mucho”, </w:t>
      </w:r>
      <w:r>
        <w:rPr>
          <w:sz w:val="22"/>
          <w:szCs w:val="22"/>
        </w:rPr>
        <w:t xml:space="preserve">explica </w:t>
      </w:r>
      <w:r>
        <w:rPr>
          <w:b/>
          <w:bCs/>
          <w:sz w:val="22"/>
          <w:szCs w:val="22"/>
        </w:rPr>
        <w:t>Begoña Barragán,</w:t>
      </w:r>
      <w:r>
        <w:rPr>
          <w:sz w:val="22"/>
          <w:szCs w:val="22"/>
        </w:rPr>
        <w:t xml:space="preserve"> presidenta de GEPAC.</w:t>
      </w:r>
    </w:p>
    <w:p w14:paraId="761AC928" w14:textId="77777777" w:rsidR="003C3531" w:rsidRDefault="00376C50">
      <w:pPr>
        <w:spacing w:before="240" w:after="240"/>
        <w:jc w:val="both"/>
        <w:rPr>
          <w:i/>
          <w:iCs/>
          <w:sz w:val="22"/>
          <w:szCs w:val="22"/>
        </w:rPr>
      </w:pPr>
      <w:r>
        <w:rPr>
          <w:sz w:val="22"/>
          <w:szCs w:val="22"/>
        </w:rPr>
        <w:t>Entre las inquietudes que trasladan las pacientes, Barragán menciona el temor al dolor, a los posibles riesgos de la radiación o las dudas sobre si podrán abrazar a sus hijos después de la prueba. Por eso, insiste en la necesidad de explicar para qué sirve cada procedimiento, qué va a experimentar la paciente y qué ocurre después,</w:t>
      </w:r>
      <w:r>
        <w:rPr>
          <w:i/>
          <w:iCs/>
          <w:sz w:val="22"/>
          <w:szCs w:val="22"/>
        </w:rPr>
        <w:t xml:space="preserve"> “en un lenguaje comprensible y con tiempo para preguntar”.</w:t>
      </w:r>
    </w:p>
    <w:p w14:paraId="7CA40754" w14:textId="77777777" w:rsidR="003C3531" w:rsidRDefault="00376C50">
      <w:pPr>
        <w:spacing w:before="240" w:after="240"/>
        <w:jc w:val="both"/>
        <w:rPr>
          <w:i/>
          <w:iCs/>
          <w:sz w:val="22"/>
          <w:szCs w:val="22"/>
        </w:rPr>
      </w:pPr>
      <w:r>
        <w:rPr>
          <w:i/>
          <w:iCs/>
          <w:sz w:val="22"/>
          <w:szCs w:val="22"/>
        </w:rPr>
        <w:t>“Cuando una paciente entiende por qué le hacen una prueba y qué se va a decidir con el resultado, el proceso cambia”</w:t>
      </w:r>
      <w:r>
        <w:rPr>
          <w:sz w:val="22"/>
          <w:szCs w:val="22"/>
        </w:rPr>
        <w:t xml:space="preserve">, afirma Barragán. La presidenta de GEPAC recuerda que </w:t>
      </w:r>
      <w:r>
        <w:rPr>
          <w:i/>
          <w:iCs/>
          <w:sz w:val="22"/>
          <w:szCs w:val="22"/>
        </w:rPr>
        <w:t>“la incertidumbre pesa tanto como la propia enfermedad, y buena parte de esa incertidumbre no la produce el cáncer, la produce no saber qué está pasando”.</w:t>
      </w:r>
    </w:p>
    <w:p w14:paraId="3BBA0ED6" w14:textId="77777777" w:rsidR="003C3531" w:rsidRDefault="00376C50">
      <w:pPr>
        <w:spacing w:before="240" w:after="240"/>
        <w:jc w:val="both"/>
        <w:rPr>
          <w:i/>
          <w:iCs/>
          <w:sz w:val="22"/>
          <w:szCs w:val="22"/>
        </w:rPr>
      </w:pPr>
      <w:r>
        <w:rPr>
          <w:sz w:val="22"/>
          <w:szCs w:val="22"/>
        </w:rPr>
        <w:t>Para la asociación, una información comprensible permite a las pacientes participar en las decisiones que les afectan y afrontar mejor cada etapa de la enfermedad. Una cuestión que conecta con su campaña</w:t>
      </w:r>
      <w:r>
        <w:rPr>
          <w:i/>
          <w:iCs/>
          <w:sz w:val="22"/>
          <w:szCs w:val="22"/>
        </w:rPr>
        <w:t xml:space="preserve"> «Cada segundo es vida»,</w:t>
      </w:r>
      <w:r>
        <w:rPr>
          <w:sz w:val="22"/>
          <w:szCs w:val="22"/>
        </w:rPr>
        <w:t xml:space="preserve"> cuyo lema recuerda, según Barragán, que</w:t>
      </w:r>
      <w:r>
        <w:rPr>
          <w:i/>
          <w:iCs/>
          <w:sz w:val="22"/>
          <w:szCs w:val="22"/>
        </w:rPr>
        <w:t xml:space="preserve"> “en el cáncer de mama cada paso cuenta y ninguno puede retrasarse, tampoco el diagnóstico”.</w:t>
      </w:r>
    </w:p>
    <w:p w14:paraId="6BD8022E" w14:textId="77777777" w:rsidR="003C3531" w:rsidRDefault="00376C50">
      <w:pPr>
        <w:spacing w:before="240" w:after="240"/>
        <w:jc w:val="both"/>
        <w:rPr>
          <w:i/>
          <w:iCs/>
          <w:sz w:val="22"/>
          <w:szCs w:val="22"/>
        </w:rPr>
      </w:pPr>
      <w:r>
        <w:rPr>
          <w:sz w:val="22"/>
          <w:szCs w:val="22"/>
        </w:rPr>
        <w:t>En este contexto, la colaboración entre sociedades científicas y asociaciones de pacientes resulta fundamental para acercar la información médica a las personas con cáncer. En palabras de Barragán, esta debe llegar</w:t>
      </w:r>
      <w:r>
        <w:rPr>
          <w:i/>
          <w:iCs/>
          <w:sz w:val="22"/>
          <w:szCs w:val="22"/>
        </w:rPr>
        <w:t xml:space="preserve"> “con el rigor del profesional y en el idioma de las pacientes”</w:t>
      </w:r>
      <w:r>
        <w:rPr>
          <w:sz w:val="22"/>
          <w:szCs w:val="22"/>
        </w:rPr>
        <w:t>, algo que, según destaca,</w:t>
      </w:r>
      <w:r>
        <w:rPr>
          <w:i/>
          <w:iCs/>
          <w:sz w:val="22"/>
          <w:szCs w:val="22"/>
        </w:rPr>
        <w:t xml:space="preserve"> “solo se consigue cuando las sociedades científicas y las asociaciones de pacientes trabajamos juntas”.</w:t>
      </w:r>
    </w:p>
    <w:p w14:paraId="58D881C4" w14:textId="77777777" w:rsidR="003C3531" w:rsidRDefault="00376C50">
      <w:pPr>
        <w:spacing w:before="240" w:after="240"/>
        <w:jc w:val="both"/>
        <w:rPr>
          <w:sz w:val="22"/>
          <w:szCs w:val="22"/>
        </w:rPr>
      </w:pPr>
      <w:r>
        <w:rPr>
          <w:sz w:val="22"/>
          <w:szCs w:val="22"/>
        </w:rPr>
        <w:t>Por su parte, la Dra. Virginia Pubul insiste en que la información a las pacientes debe formar parte de una atención personalizada.</w:t>
      </w:r>
      <w:r>
        <w:rPr>
          <w:i/>
          <w:iCs/>
          <w:sz w:val="22"/>
          <w:szCs w:val="22"/>
        </w:rPr>
        <w:t xml:space="preserve"> “Desde la SEMNIM creemos que la aplicación de estas técnicas debe ir siempre acompañada de una explicación clara: cada paciente debe saber en qué consiste su prueba, qué buscamos y cómo su resultado puede influir en su tratamiento”, </w:t>
      </w:r>
      <w:r>
        <w:rPr>
          <w:sz w:val="22"/>
          <w:szCs w:val="22"/>
        </w:rPr>
        <w:t>señala.</w:t>
      </w:r>
    </w:p>
    <w:p w14:paraId="04F71B24" w14:textId="77777777" w:rsidR="003C3531" w:rsidRDefault="00376C50">
      <w:pPr>
        <w:spacing w:before="240" w:after="240"/>
        <w:jc w:val="both"/>
        <w:rPr>
          <w:sz w:val="22"/>
          <w:szCs w:val="22"/>
        </w:rPr>
      </w:pPr>
      <w:r>
        <w:rPr>
          <w:sz w:val="22"/>
          <w:szCs w:val="22"/>
        </w:rPr>
        <w:lastRenderedPageBreak/>
        <w:t xml:space="preserve">En este sentido, la presidenta de la SEMNIM destaca la importancia de trabajar </w:t>
      </w:r>
      <w:proofErr w:type="gramStart"/>
      <w:r>
        <w:rPr>
          <w:sz w:val="22"/>
          <w:szCs w:val="22"/>
        </w:rPr>
        <w:t>conjuntamente con</w:t>
      </w:r>
      <w:proofErr w:type="gramEnd"/>
      <w:r>
        <w:rPr>
          <w:sz w:val="22"/>
          <w:szCs w:val="22"/>
        </w:rPr>
        <w:t xml:space="preserve"> las asociaciones de pacientes, como GEPAC, para situar sus necesidades en el centro de la atención sanitaria.</w:t>
      </w:r>
    </w:p>
    <w:p w14:paraId="16D8ECE0" w14:textId="77777777" w:rsidR="003C3531" w:rsidRDefault="00376C50">
      <w:pPr>
        <w:jc w:val="both"/>
        <w:rPr>
          <w:rFonts w:ascii="Arial" w:eastAsia="Arial" w:hAnsi="Arial" w:cs="Arial"/>
          <w:b/>
          <w:bCs/>
          <w:sz w:val="18"/>
          <w:szCs w:val="18"/>
        </w:rPr>
      </w:pPr>
      <w:r>
        <w:rPr>
          <w:rFonts w:ascii="Arial" w:eastAsia="Arial" w:hAnsi="Arial" w:cs="Arial"/>
          <w:b/>
          <w:bCs/>
          <w:sz w:val="18"/>
          <w:szCs w:val="18"/>
        </w:rPr>
        <w:t>Sobre SEMNIM</w:t>
      </w:r>
    </w:p>
    <w:p w14:paraId="1B041B14" w14:textId="77777777" w:rsidR="003C3531" w:rsidRDefault="00376C50">
      <w:pPr>
        <w:spacing w:after="0"/>
        <w:jc w:val="both"/>
        <w:rPr>
          <w:rFonts w:ascii="Arial" w:eastAsia="Arial" w:hAnsi="Arial" w:cs="Arial"/>
          <w:sz w:val="18"/>
          <w:szCs w:val="18"/>
        </w:rPr>
      </w:pPr>
      <w:r>
        <w:rPr>
          <w:rFonts w:ascii="Arial" w:eastAsia="Arial" w:hAnsi="Arial" w:cs="Arial"/>
          <w:sz w:val="18"/>
          <w:szCs w:val="18"/>
        </w:rPr>
        <w:t>La Sociedad Española de Medicina Nuclear e Imagen Molecular (SEMNIM) es la sociedad científica que representa a los especialistas en Medicina Nuclear en España. Su actividad está orientada a promover el desarrollo científico, docente e investigador de la especialidad, así como a fomentar la calidad asistencial y la colaboración con instituciones sanitarias, científicas y académicas en el ámbito de la Medicina Nuclear y la Imagen Molecular.</w:t>
      </w:r>
    </w:p>
    <w:p w14:paraId="078F8F9B" w14:textId="77777777" w:rsidR="003C3531" w:rsidRDefault="003C3531">
      <w:pPr>
        <w:jc w:val="both"/>
        <w:rPr>
          <w:sz w:val="22"/>
          <w:szCs w:val="22"/>
        </w:rPr>
      </w:pPr>
    </w:p>
    <w:p w14:paraId="2984EFC6" w14:textId="77777777" w:rsidR="003C3531" w:rsidRDefault="00376C50">
      <w:pPr>
        <w:jc w:val="both"/>
        <w:rPr>
          <w:rFonts w:ascii="Arial" w:eastAsia="Arial" w:hAnsi="Arial" w:cs="Arial"/>
          <w:b/>
          <w:bCs/>
          <w:sz w:val="18"/>
          <w:szCs w:val="18"/>
        </w:rPr>
      </w:pPr>
      <w:r>
        <w:rPr>
          <w:rFonts w:ascii="Arial" w:eastAsia="Arial" w:hAnsi="Arial" w:cs="Arial"/>
          <w:b/>
          <w:bCs/>
          <w:sz w:val="18"/>
          <w:szCs w:val="18"/>
        </w:rPr>
        <w:t>Sobre GEPAC</w:t>
      </w:r>
    </w:p>
    <w:p w14:paraId="6BEF36D3" w14:textId="77777777" w:rsidR="003C3531" w:rsidRDefault="00376C50">
      <w:pPr>
        <w:spacing w:after="0"/>
        <w:jc w:val="both"/>
        <w:rPr>
          <w:rFonts w:ascii="Arial" w:eastAsia="Arial" w:hAnsi="Arial" w:cs="Arial"/>
          <w:sz w:val="18"/>
          <w:szCs w:val="18"/>
        </w:rPr>
      </w:pPr>
      <w:r>
        <w:rPr>
          <w:rFonts w:ascii="Arial" w:eastAsia="Arial" w:hAnsi="Arial" w:cs="Arial"/>
          <w:sz w:val="18"/>
          <w:szCs w:val="18"/>
        </w:rPr>
        <w:t>El Grupo Español de Pacientes con Cáncer (GEPAC), creado el 1 de septiembre de 2010, es una entidad independiente sin ánimo de lucro formada por organizaciones nacionales e internacionales. Desde nuestra propia experiencia, como pacientes con cáncer, exponemos nuestras demandas y necesidades a los diferentes agentes sociales vinculados a la atención oncológica y trabajamos activamente para lograr la normalización del cáncer. Para lograr lo anteriormente descrito, los proyectos e iniciativas de GEPAC se sust</w:t>
      </w:r>
      <w:r>
        <w:rPr>
          <w:rFonts w:ascii="Arial" w:eastAsia="Arial" w:hAnsi="Arial" w:cs="Arial"/>
          <w:sz w:val="18"/>
          <w:szCs w:val="18"/>
        </w:rPr>
        <w:t>entan en cuatro pilares: garantizar una atención integral del paciente oncológico, lograr la normalización social del cáncer, facilitar información útil y supervisada por profesionales sanitarios y velar por la equidad en el acceso a pruebas diagnósticas y tratamientos.</w:t>
      </w:r>
    </w:p>
    <w:p w14:paraId="531729D2" w14:textId="77777777" w:rsidR="003C3531" w:rsidRDefault="003C3531">
      <w:pPr>
        <w:jc w:val="both"/>
        <w:rPr>
          <w:sz w:val="22"/>
          <w:szCs w:val="22"/>
        </w:rPr>
      </w:pPr>
    </w:p>
    <w:p w14:paraId="3AAC5028" w14:textId="77777777" w:rsidR="003C3531" w:rsidRDefault="00376C50">
      <w:pPr>
        <w:jc w:val="both"/>
        <w:rPr>
          <w:b/>
          <w:bCs/>
          <w:sz w:val="18"/>
          <w:szCs w:val="18"/>
        </w:rPr>
      </w:pPr>
      <w:r>
        <w:rPr>
          <w:b/>
          <w:bCs/>
          <w:sz w:val="18"/>
          <w:szCs w:val="18"/>
        </w:rPr>
        <w:t>Datos de contacto | Gabinete de Comunicación SEMNIM</w:t>
      </w:r>
    </w:p>
    <w:p w14:paraId="7F8BD376" w14:textId="77777777" w:rsidR="003C3531" w:rsidRDefault="00376C50">
      <w:pPr>
        <w:jc w:val="both"/>
        <w:rPr>
          <w:sz w:val="18"/>
          <w:szCs w:val="18"/>
        </w:rPr>
      </w:pPr>
      <w:r>
        <w:rPr>
          <w:sz w:val="18"/>
          <w:szCs w:val="18"/>
        </w:rPr>
        <w:t>comunicacion@semnim.es | 619 26 27 24</w:t>
      </w:r>
    </w:p>
    <w:p w14:paraId="323C5A44" w14:textId="77777777" w:rsidR="003C3531" w:rsidRDefault="00376C50">
      <w:pPr>
        <w:jc w:val="both"/>
        <w:rPr>
          <w:b/>
          <w:bCs/>
          <w:sz w:val="18"/>
          <w:szCs w:val="18"/>
        </w:rPr>
      </w:pPr>
      <w:r>
        <w:rPr>
          <w:sz w:val="22"/>
          <w:szCs w:val="22"/>
        </w:rPr>
        <w:br/>
      </w:r>
      <w:r>
        <w:rPr>
          <w:b/>
          <w:bCs/>
          <w:sz w:val="18"/>
          <w:szCs w:val="18"/>
        </w:rPr>
        <w:t>Datos de contacto | GEPAC</w:t>
      </w:r>
    </w:p>
    <w:p w14:paraId="505FBB0B" w14:textId="77777777" w:rsidR="003C3531" w:rsidRDefault="00376C50" w:rsidP="00A377CE">
      <w:pPr>
        <w:spacing w:after="0"/>
        <w:rPr>
          <w:sz w:val="18"/>
          <w:szCs w:val="18"/>
          <w:highlight w:val="yellow"/>
        </w:rPr>
      </w:pPr>
      <w:r>
        <w:rPr>
          <w:sz w:val="18"/>
          <w:szCs w:val="18"/>
        </w:rPr>
        <w:t>Sergio Cobas – Responsable de comunicación</w:t>
      </w:r>
      <w:r>
        <w:rPr>
          <w:sz w:val="18"/>
          <w:szCs w:val="18"/>
        </w:rPr>
        <w:br/>
        <w:t>Tel. 91 563 18 01 – 647 852 322</w:t>
      </w:r>
      <w:r>
        <w:rPr>
          <w:sz w:val="18"/>
          <w:szCs w:val="18"/>
        </w:rPr>
        <w:br/>
        <w:t>Mail: comunicacion@gepac.es</w:t>
      </w:r>
    </w:p>
    <w:p w14:paraId="039774C2" w14:textId="77777777" w:rsidR="003C3531" w:rsidRDefault="003C3531">
      <w:pPr>
        <w:jc w:val="both"/>
        <w:rPr>
          <w:sz w:val="18"/>
          <w:szCs w:val="18"/>
          <w:highlight w:val="yellow"/>
        </w:rPr>
      </w:pPr>
    </w:p>
    <w:sectPr w:rsidR="003C3531">
      <w:headerReference w:type="default" r:id="rId8"/>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883D5" w14:textId="77777777" w:rsidR="00376C50" w:rsidRDefault="00376C50">
      <w:pPr>
        <w:spacing w:after="0" w:line="240" w:lineRule="auto"/>
      </w:pPr>
      <w:r>
        <w:separator/>
      </w:r>
    </w:p>
  </w:endnote>
  <w:endnote w:type="continuationSeparator" w:id="0">
    <w:p w14:paraId="1F162595" w14:textId="77777777" w:rsidR="00376C50" w:rsidRDefault="00376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8F76242F-1512-409C-9B42-28B566BACE65}"/>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DBA79DBB-9656-4715-A4E7-48FD4711456E}"/>
    <w:embedBold r:id="rId3" w:fontKey="{24FC76A6-BCD1-403F-A816-82DDA8585AF2}"/>
    <w:embedItalic r:id="rId4" w:fontKey="{C4F4C1BE-1AEB-4B69-92A8-61391BD31F01}"/>
  </w:font>
  <w:font w:name="Play">
    <w:charset w:val="00"/>
    <w:family w:val="auto"/>
    <w:pitch w:val="default"/>
    <w:embedRegular r:id="rId5" w:fontKey="{D375ED05-D7C5-46AA-A2FC-6BF5988BB54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Bold r:id="rId6" w:fontKey="{2EE31415-E110-4F6B-A1B4-1D8F59FD5D76}"/>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7" w:fontKey="{6DA92998-420F-4018-92FF-0A805A57AF19}"/>
  </w:font>
  <w:font w:name="Cambria">
    <w:panose1 w:val="02040503050406030204"/>
    <w:charset w:val="00"/>
    <w:family w:val="roman"/>
    <w:pitch w:val="variable"/>
    <w:sig w:usb0="E00006FF" w:usb1="420024FF" w:usb2="02000000" w:usb3="00000000" w:csb0="0000019F" w:csb1="00000000"/>
    <w:embedRegular r:id="rId8" w:fontKey="{CC5BE7E8-D875-4FF8-B563-C0584E43B49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C674C" w14:textId="77777777" w:rsidR="00376C50" w:rsidRDefault="00376C50">
      <w:pPr>
        <w:spacing w:after="0" w:line="240" w:lineRule="auto"/>
      </w:pPr>
      <w:r>
        <w:separator/>
      </w:r>
    </w:p>
  </w:footnote>
  <w:footnote w:type="continuationSeparator" w:id="0">
    <w:p w14:paraId="42A14660" w14:textId="77777777" w:rsidR="00376C50" w:rsidRDefault="00376C50">
      <w:pPr>
        <w:spacing w:after="0" w:line="240" w:lineRule="auto"/>
      </w:pPr>
      <w:r>
        <w:continuationSeparator/>
      </w:r>
    </w:p>
  </w:footnote>
  <w:footnote w:id="1">
    <w:p w14:paraId="2D618EF4" w14:textId="77777777" w:rsidR="003C3531" w:rsidRDefault="00376C50">
      <w:pPr>
        <w:spacing w:after="0" w:line="240" w:lineRule="auto"/>
        <w:rPr>
          <w:sz w:val="20"/>
          <w:szCs w:val="20"/>
        </w:rPr>
      </w:pPr>
      <w:r>
        <w:rPr>
          <w:vertAlign w:val="superscript"/>
        </w:rPr>
        <w:footnoteRef/>
      </w:r>
      <w:r>
        <w:rPr>
          <w:sz w:val="20"/>
          <w:szCs w:val="20"/>
        </w:rPr>
        <w:t xml:space="preserve"> Ayala de la Peña, F., Antolín Novoa, S., </w:t>
      </w:r>
      <w:proofErr w:type="spellStart"/>
      <w:r>
        <w:rPr>
          <w:sz w:val="20"/>
          <w:szCs w:val="20"/>
        </w:rPr>
        <w:t>Gavilá</w:t>
      </w:r>
      <w:proofErr w:type="spellEnd"/>
      <w:r>
        <w:rPr>
          <w:sz w:val="20"/>
          <w:szCs w:val="20"/>
        </w:rPr>
        <w:t xml:space="preserve"> Gregori, J., González Cortijo, L., Henao Carrasco, F., Martínez </w:t>
      </w:r>
      <w:proofErr w:type="spellStart"/>
      <w:r>
        <w:rPr>
          <w:sz w:val="20"/>
          <w:szCs w:val="20"/>
        </w:rPr>
        <w:t>Martínez</w:t>
      </w:r>
      <w:proofErr w:type="spellEnd"/>
      <w:r>
        <w:rPr>
          <w:sz w:val="20"/>
          <w:szCs w:val="20"/>
        </w:rPr>
        <w:t xml:space="preserve">, M. T., Morales Estévez, C., </w:t>
      </w:r>
      <w:proofErr w:type="spellStart"/>
      <w:r>
        <w:rPr>
          <w:sz w:val="20"/>
          <w:szCs w:val="20"/>
        </w:rPr>
        <w:t>Stradella</w:t>
      </w:r>
      <w:proofErr w:type="spellEnd"/>
      <w:r>
        <w:rPr>
          <w:sz w:val="20"/>
          <w:szCs w:val="20"/>
        </w:rPr>
        <w:t xml:space="preserve">, A., Vidal Losada, M. J., &amp; Ciruelos, E. (2026). SEOM-GEICAM-SOLTI </w:t>
      </w:r>
      <w:proofErr w:type="spellStart"/>
      <w:r>
        <w:rPr>
          <w:sz w:val="20"/>
          <w:szCs w:val="20"/>
        </w:rPr>
        <w:t>clinical</w:t>
      </w:r>
      <w:proofErr w:type="spellEnd"/>
      <w:r>
        <w:rPr>
          <w:sz w:val="20"/>
          <w:szCs w:val="20"/>
        </w:rPr>
        <w:t xml:space="preserve"> </w:t>
      </w:r>
      <w:proofErr w:type="spellStart"/>
      <w:r>
        <w:rPr>
          <w:sz w:val="20"/>
          <w:szCs w:val="20"/>
        </w:rPr>
        <w:t>guidelines</w:t>
      </w:r>
      <w:proofErr w:type="spellEnd"/>
      <w:r>
        <w:rPr>
          <w:sz w:val="20"/>
          <w:szCs w:val="20"/>
        </w:rPr>
        <w:t xml:space="preserve"> </w:t>
      </w:r>
      <w:proofErr w:type="spellStart"/>
      <w:r>
        <w:rPr>
          <w:sz w:val="20"/>
          <w:szCs w:val="20"/>
        </w:rPr>
        <w:t>for</w:t>
      </w:r>
      <w:proofErr w:type="spellEnd"/>
      <w:r>
        <w:rPr>
          <w:sz w:val="20"/>
          <w:szCs w:val="20"/>
        </w:rPr>
        <w:t xml:space="preserve"> </w:t>
      </w:r>
      <w:proofErr w:type="spellStart"/>
      <w:r>
        <w:rPr>
          <w:sz w:val="20"/>
          <w:szCs w:val="20"/>
        </w:rPr>
        <w:t>early-stage</w:t>
      </w:r>
      <w:proofErr w:type="spellEnd"/>
      <w:r>
        <w:rPr>
          <w:sz w:val="20"/>
          <w:szCs w:val="20"/>
        </w:rPr>
        <w:t xml:space="preserve"> </w:t>
      </w:r>
      <w:proofErr w:type="spellStart"/>
      <w:r>
        <w:rPr>
          <w:sz w:val="20"/>
          <w:szCs w:val="20"/>
        </w:rPr>
        <w:t>breast</w:t>
      </w:r>
      <w:proofErr w:type="spellEnd"/>
      <w:r>
        <w:rPr>
          <w:sz w:val="20"/>
          <w:szCs w:val="20"/>
        </w:rPr>
        <w:t xml:space="preserve"> </w:t>
      </w:r>
      <w:proofErr w:type="spellStart"/>
      <w:r>
        <w:rPr>
          <w:sz w:val="20"/>
          <w:szCs w:val="20"/>
        </w:rPr>
        <w:t>cancer</w:t>
      </w:r>
      <w:proofErr w:type="spellEnd"/>
      <w:r>
        <w:rPr>
          <w:sz w:val="20"/>
          <w:szCs w:val="20"/>
        </w:rPr>
        <w:t xml:space="preserve"> (UPDATE 2025). </w:t>
      </w:r>
      <w:proofErr w:type="spellStart"/>
      <w:r>
        <w:rPr>
          <w:sz w:val="20"/>
          <w:szCs w:val="20"/>
        </w:rPr>
        <w:t>Clinical</w:t>
      </w:r>
      <w:proofErr w:type="spellEnd"/>
      <w:r>
        <w:rPr>
          <w:sz w:val="20"/>
          <w:szCs w:val="20"/>
        </w:rPr>
        <w:t xml:space="preserve"> and </w:t>
      </w:r>
      <w:proofErr w:type="spellStart"/>
      <w:r>
        <w:rPr>
          <w:sz w:val="20"/>
          <w:szCs w:val="20"/>
        </w:rPr>
        <w:t>Translational</w:t>
      </w:r>
      <w:proofErr w:type="spellEnd"/>
      <w:r>
        <w:rPr>
          <w:sz w:val="20"/>
          <w:szCs w:val="20"/>
        </w:rPr>
        <w:t xml:space="preserve"> </w:t>
      </w:r>
      <w:proofErr w:type="spellStart"/>
      <w:r>
        <w:rPr>
          <w:sz w:val="20"/>
          <w:szCs w:val="20"/>
        </w:rPr>
        <w:t>Oncology</w:t>
      </w:r>
      <w:proofErr w:type="spellEnd"/>
      <w:r>
        <w:rPr>
          <w:sz w:val="20"/>
          <w:szCs w:val="20"/>
        </w:rPr>
        <w:t>, 28(1), 105–125.</w:t>
      </w:r>
      <w:hyperlink r:id="rId1">
        <w:r>
          <w:rPr>
            <w:sz w:val="20"/>
            <w:szCs w:val="20"/>
          </w:rPr>
          <w:t xml:space="preserve"> </w:t>
        </w:r>
      </w:hyperlink>
      <w:hyperlink r:id="rId2">
        <w:r>
          <w:rPr>
            <w:color w:val="1155CC"/>
            <w:sz w:val="20"/>
            <w:szCs w:val="20"/>
            <w:u w:val="single"/>
          </w:rPr>
          <w:t>https://doi.org/10.1007/s12094-025-04139-x</w:t>
        </w:r>
      </w:hyperlink>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D5A2B" w14:textId="4DB2FE49" w:rsidR="003C3531" w:rsidRDefault="00376C50">
    <w:pPr>
      <w:pBdr>
        <w:top w:val="nil"/>
        <w:left w:val="nil"/>
        <w:bottom w:val="nil"/>
        <w:right w:val="nil"/>
        <w:between w:val="nil"/>
      </w:pBdr>
      <w:tabs>
        <w:tab w:val="center" w:pos="4252"/>
        <w:tab w:val="right" w:pos="8504"/>
      </w:tabs>
      <w:spacing w:after="0" w:line="240" w:lineRule="auto"/>
      <w:rPr>
        <w:color w:val="000000"/>
      </w:rPr>
    </w:pPr>
    <w:r>
      <w:rPr>
        <w:noProof/>
        <w:color w:val="000000"/>
      </w:rPr>
      <w:drawing>
        <wp:anchor distT="0" distB="0" distL="114300" distR="114300" simplePos="0" relativeHeight="251658240" behindDoc="0" locked="0" layoutInCell="1" hidden="0" allowOverlap="1" wp14:anchorId="652F1941" wp14:editId="5AE8B66B">
          <wp:simplePos x="0" y="0"/>
          <wp:positionH relativeFrom="margin">
            <wp:posOffset>4156964</wp:posOffset>
          </wp:positionH>
          <wp:positionV relativeFrom="margin">
            <wp:posOffset>-1506854</wp:posOffset>
          </wp:positionV>
          <wp:extent cx="1228725" cy="474345"/>
          <wp:effectExtent l="0" t="0" r="0" b="0"/>
          <wp:wrapSquare wrapText="bothSides" distT="0" distB="0" distL="114300" distR="114300"/>
          <wp:docPr id="1529020582" name="image1.png" descr="Text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1.png" descr="Texto&#10;&#10;El contenido generado por IA puede ser incorrecto."/>
                  <pic:cNvPicPr preferRelativeResize="0"/>
                </pic:nvPicPr>
                <pic:blipFill>
                  <a:blip r:embed="rId1"/>
                  <a:srcRect/>
                  <a:stretch>
                    <a:fillRect/>
                  </a:stretch>
                </pic:blipFill>
                <pic:spPr>
                  <a:xfrm>
                    <a:off x="0" y="0"/>
                    <a:ext cx="1228725" cy="474345"/>
                  </a:xfrm>
                  <a:prstGeom prst="rect">
                    <a:avLst/>
                  </a:prstGeom>
                  <a:ln/>
                </pic:spPr>
              </pic:pic>
            </a:graphicData>
          </a:graphic>
        </wp:anchor>
      </w:drawing>
    </w:r>
    <w:r>
      <w:rPr>
        <w:noProof/>
      </w:rPr>
      <w:drawing>
        <wp:anchor distT="0" distB="0" distL="0" distR="0" simplePos="0" relativeHeight="251659264" behindDoc="1" locked="0" layoutInCell="1" hidden="0" allowOverlap="1" wp14:anchorId="2CAAFE9D" wp14:editId="36F69B69">
          <wp:simplePos x="0" y="0"/>
          <wp:positionH relativeFrom="column">
            <wp:posOffset>0</wp:posOffset>
          </wp:positionH>
          <wp:positionV relativeFrom="paragraph">
            <wp:posOffset>68884</wp:posOffset>
          </wp:positionV>
          <wp:extent cx="863193" cy="382793"/>
          <wp:effectExtent l="0" t="0" r="0" b="0"/>
          <wp:wrapNone/>
          <wp:docPr id="1529020583" name="image2.png" descr="COMUNICADO OFICIAL: Carta de Dña. Begoña Barragán ..."/>
          <wp:cNvGraphicFramePr/>
          <a:graphic xmlns:a="http://schemas.openxmlformats.org/drawingml/2006/main">
            <a:graphicData uri="http://schemas.openxmlformats.org/drawingml/2006/picture">
              <pic:pic xmlns:pic="http://schemas.openxmlformats.org/drawingml/2006/picture">
                <pic:nvPicPr>
                  <pic:cNvPr id="0" name="image2.png" descr="COMUNICADO OFICIAL: Carta de Dña. Begoña Barragán ..."/>
                  <pic:cNvPicPr preferRelativeResize="0"/>
                </pic:nvPicPr>
                <pic:blipFill>
                  <a:blip r:embed="rId2"/>
                  <a:srcRect/>
                  <a:stretch>
                    <a:fillRect/>
                  </a:stretch>
                </pic:blipFill>
                <pic:spPr>
                  <a:xfrm>
                    <a:off x="0" y="0"/>
                    <a:ext cx="863193" cy="382793"/>
                  </a:xfrm>
                  <a:prstGeom prst="rect">
                    <a:avLst/>
                  </a:prstGeom>
                  <a:ln/>
                </pic:spPr>
              </pic:pic>
            </a:graphicData>
          </a:graphic>
        </wp:anchor>
      </w:drawing>
    </w:r>
  </w:p>
  <w:p w14:paraId="47D9124A" w14:textId="77777777" w:rsidR="003C3531" w:rsidRDefault="003C3531">
    <w:pPr>
      <w:tabs>
        <w:tab w:val="center" w:pos="4252"/>
        <w:tab w:val="right" w:pos="8504"/>
      </w:tabs>
      <w:spacing w:after="0" w:line="240" w:lineRule="auto"/>
      <w:jc w:val="right"/>
      <w:rPr>
        <w:color w:val="000000"/>
      </w:rPr>
    </w:pPr>
  </w:p>
  <w:p w14:paraId="6D9F85A9" w14:textId="77777777" w:rsidR="003C3531" w:rsidRDefault="003C3531">
    <w:pPr>
      <w:pBdr>
        <w:top w:val="nil"/>
        <w:left w:val="nil"/>
        <w:bottom w:val="nil"/>
        <w:right w:val="nil"/>
        <w:between w:val="nil"/>
      </w:pBdr>
      <w:tabs>
        <w:tab w:val="center" w:pos="4252"/>
        <w:tab w:val="right" w:pos="8504"/>
      </w:tabs>
      <w:spacing w:after="0" w:line="240" w:lineRule="auto"/>
      <w:jc w:val="right"/>
      <w:rPr>
        <w:color w:val="000000"/>
      </w:rPr>
    </w:pPr>
  </w:p>
  <w:p w14:paraId="1BD78A00" w14:textId="77777777" w:rsidR="003C3531" w:rsidRDefault="003C3531">
    <w:pPr>
      <w:pBdr>
        <w:top w:val="nil"/>
        <w:left w:val="nil"/>
        <w:bottom w:val="single" w:sz="6" w:space="1" w:color="000000"/>
        <w:right w:val="nil"/>
        <w:between w:val="nil"/>
      </w:pBdr>
      <w:tabs>
        <w:tab w:val="center" w:pos="4252"/>
        <w:tab w:val="right" w:pos="8504"/>
      </w:tabs>
      <w:spacing w:after="0" w:line="240" w:lineRule="auto"/>
      <w:rPr>
        <w:color w:val="000000"/>
      </w:rPr>
    </w:pPr>
  </w:p>
  <w:p w14:paraId="36D5E12A" w14:textId="77777777" w:rsidR="003C3531" w:rsidRDefault="003C3531">
    <w:pPr>
      <w:pBdr>
        <w:top w:val="nil"/>
        <w:left w:val="nil"/>
        <w:bottom w:val="single" w:sz="6" w:space="1" w:color="000000"/>
        <w:right w:val="nil"/>
        <w:between w:val="nil"/>
      </w:pBdr>
      <w:tabs>
        <w:tab w:val="center" w:pos="4252"/>
        <w:tab w:val="right" w:pos="8504"/>
      </w:tabs>
      <w:spacing w:after="0" w:line="240" w:lineRule="auto"/>
      <w:rPr>
        <w:color w:val="000000"/>
      </w:rPr>
    </w:pPr>
  </w:p>
  <w:p w14:paraId="462BE6D1" w14:textId="77777777" w:rsidR="003C3531" w:rsidRDefault="00376C50">
    <w:pPr>
      <w:pBdr>
        <w:top w:val="nil"/>
        <w:left w:val="nil"/>
        <w:bottom w:val="single" w:sz="6" w:space="1" w:color="000000"/>
        <w:right w:val="nil"/>
        <w:between w:val="nil"/>
      </w:pBdr>
      <w:tabs>
        <w:tab w:val="center" w:pos="4252"/>
        <w:tab w:val="right" w:pos="8504"/>
      </w:tabs>
      <w:spacing w:after="0" w:line="240" w:lineRule="auto"/>
      <w:rPr>
        <w:color w:val="000000"/>
      </w:rPr>
    </w:pPr>
    <w:r>
      <w:rPr>
        <w:color w:val="000000"/>
      </w:rPr>
      <w:t>NOTA DE PRENSA</w:t>
    </w:r>
  </w:p>
  <w:p w14:paraId="1D42C29C" w14:textId="77777777" w:rsidR="003C3531" w:rsidRDefault="003C3531">
    <w:pPr>
      <w:pBdr>
        <w:top w:val="nil"/>
        <w:left w:val="nil"/>
        <w:bottom w:val="nil"/>
        <w:right w:val="nil"/>
        <w:between w:val="nil"/>
      </w:pBdr>
      <w:tabs>
        <w:tab w:val="center" w:pos="4252"/>
        <w:tab w:val="right" w:pos="8504"/>
      </w:tabs>
      <w:spacing w:after="0" w:line="240" w:lineRule="auto"/>
      <w:rPr>
        <w:color w:val="000000"/>
      </w:rPr>
    </w:pPr>
  </w:p>
  <w:p w14:paraId="2530969E" w14:textId="77777777" w:rsidR="003C3531" w:rsidRDefault="003C3531">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2050E0"/>
    <w:multiLevelType w:val="multilevel"/>
    <w:tmpl w:val="659441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928730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531"/>
    <w:rsid w:val="00376C50"/>
    <w:rsid w:val="003C3531"/>
    <w:rsid w:val="00722E40"/>
    <w:rsid w:val="00A377C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CA48B"/>
  <w15:docId w15:val="{1429897B-C91B-4884-9EDB-B277E2596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s" w:eastAsia="es-E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Encabezado">
    <w:name w:val="header"/>
    <w:basedOn w:val="Normal"/>
    <w:link w:val="EncabezadoCar"/>
    <w:uiPriority w:val="99"/>
    <w:unhideWhenUsed/>
    <w:rsid w:val="007F74A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F74AE"/>
  </w:style>
  <w:style w:type="paragraph" w:styleId="Piedepgina">
    <w:name w:val="footer"/>
    <w:basedOn w:val="Normal"/>
    <w:link w:val="PiedepginaCar"/>
    <w:uiPriority w:val="99"/>
    <w:unhideWhenUsed/>
    <w:rsid w:val="007F74A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F74AE"/>
  </w:style>
  <w:style w:type="paragraph" w:styleId="Prrafodelista">
    <w:name w:val="List Paragraph"/>
    <w:basedOn w:val="Normal"/>
    <w:uiPriority w:val="34"/>
    <w:qFormat/>
    <w:rsid w:val="007F74AE"/>
    <w:pPr>
      <w:ind w:left="720"/>
      <w:contextualSpacing/>
    </w:pPr>
  </w:style>
  <w:style w:type="paragraph" w:styleId="NormalWeb">
    <w:name w:val="Normal (Web)"/>
    <w:basedOn w:val="Normal"/>
    <w:uiPriority w:val="99"/>
    <w:semiHidden/>
    <w:unhideWhenUsed/>
    <w:rsid w:val="00B90889"/>
    <w:pPr>
      <w:spacing w:before="100" w:beforeAutospacing="1" w:after="100" w:afterAutospacing="1" w:line="240" w:lineRule="auto"/>
    </w:pPr>
    <w:rPr>
      <w:rFonts w:ascii="Times New Roman" w:eastAsia="Times New Roman" w:hAnsi="Times New Roman" w:cs="Times New Roman"/>
      <w:lang w:val="es-ES"/>
    </w:rPr>
  </w:style>
  <w:style w:type="character" w:styleId="Fuerte">
    <w:name w:val="Strong"/>
    <w:basedOn w:val="Fuentedeprrafopredeter"/>
    <w:uiPriority w:val="22"/>
    <w:qFormat/>
    <w:rsid w:val="00B90889"/>
    <w:rPr>
      <w:b/>
      <w:bCs/>
    </w:rPr>
  </w:style>
  <w:style w:type="character" w:styleId="Refdecomentario">
    <w:name w:val="annotation reference"/>
    <w:basedOn w:val="Fuentedeprrafopredeter"/>
    <w:uiPriority w:val="99"/>
    <w:semiHidden/>
    <w:unhideWhenUsed/>
    <w:rsid w:val="00F100F0"/>
    <w:rPr>
      <w:sz w:val="16"/>
      <w:szCs w:val="16"/>
    </w:rPr>
  </w:style>
  <w:style w:type="paragraph" w:styleId="Textocomentario">
    <w:name w:val="annotation text"/>
    <w:basedOn w:val="Normal"/>
    <w:link w:val="TextocomentarioCar"/>
    <w:uiPriority w:val="99"/>
    <w:unhideWhenUsed/>
    <w:rsid w:val="00F100F0"/>
    <w:pPr>
      <w:spacing w:line="240" w:lineRule="auto"/>
    </w:pPr>
    <w:rPr>
      <w:sz w:val="20"/>
      <w:szCs w:val="20"/>
    </w:rPr>
  </w:style>
  <w:style w:type="character" w:customStyle="1" w:styleId="TextocomentarioCar">
    <w:name w:val="Texto comentario Car"/>
    <w:basedOn w:val="Fuentedeprrafopredeter"/>
    <w:link w:val="Textocomentario"/>
    <w:uiPriority w:val="99"/>
    <w:rsid w:val="00F100F0"/>
    <w:rPr>
      <w:sz w:val="20"/>
      <w:szCs w:val="20"/>
    </w:rPr>
  </w:style>
  <w:style w:type="paragraph" w:styleId="Asuntodelcomentario">
    <w:name w:val="annotation subject"/>
    <w:basedOn w:val="Textocomentario"/>
    <w:next w:val="Textocomentario"/>
    <w:link w:val="AsuntodelcomentarioCar"/>
    <w:uiPriority w:val="99"/>
    <w:semiHidden/>
    <w:unhideWhenUsed/>
    <w:rsid w:val="00F100F0"/>
    <w:rPr>
      <w:b/>
      <w:bCs/>
    </w:rPr>
  </w:style>
  <w:style w:type="character" w:customStyle="1" w:styleId="AsuntodelcomentarioCar">
    <w:name w:val="Asunto del comentario Car"/>
    <w:basedOn w:val="TextocomentarioCar"/>
    <w:link w:val="Asuntodelcomentario"/>
    <w:uiPriority w:val="99"/>
    <w:semiHidden/>
    <w:rsid w:val="00F100F0"/>
    <w:rPr>
      <w:b/>
      <w:bCs/>
      <w:sz w:val="20"/>
      <w:szCs w:val="20"/>
    </w:rPr>
  </w:style>
  <w:style w:type="paragraph" w:styleId="Subttulo">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2" Type="http://schemas.openxmlformats.org/officeDocument/2006/relationships/hyperlink" Target="https://doi.org/10.1007/s12094-025-04139-x?utm_source=chatgpt.com" TargetMode="External"/><Relationship Id="rId1" Type="http://schemas.openxmlformats.org/officeDocument/2006/relationships/hyperlink" Target="https://doi.org/10.1007/s12094-025-04139-x?utm_source=chatgp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GP3WjQ4t6r+N2a87CmcF0mgOkg==">CgMxLjAyDmgudWxzdHdjYzl5YW5tOAByITF1NnFDMzhuQmIxNHhRdmtBR3NIa1ppOGxUYTVmMmx2QQ==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1304</Words>
  <Characters>7173</Characters>
  <Application>Microsoft Office Word</Application>
  <DocSecurity>0</DocSecurity>
  <Lines>59</Lines>
  <Paragraphs>16</Paragraphs>
  <ScaleCrop>false</ScaleCrop>
  <Company/>
  <LinksUpToDate>false</LinksUpToDate>
  <CharactersWithSpaces>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María Clemente</dc:creator>
  <cp:lastModifiedBy>Paula Baena</cp:lastModifiedBy>
  <cp:revision>2</cp:revision>
  <dcterms:created xsi:type="dcterms:W3CDTF">2026-10-19T11:20:00Z</dcterms:created>
  <dcterms:modified xsi:type="dcterms:W3CDTF">2026-10-19T11:20:00Z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0x0101009FE7AE6F7F073F40A5361AA07BDB5BBE</vt:lpwstr>
  </property>
</Properties>
</file>